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8EC4E62"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DD0EAB">
        <w:rPr>
          <w:noProof w:val="0"/>
          <w:sz w:val="24"/>
          <w:szCs w:val="24"/>
          <w:lang w:val="en-US"/>
        </w:rPr>
        <w:t>5</w:t>
      </w:r>
      <w:r w:rsidR="00C7035B">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BB5D31">
        <w:rPr>
          <w:bCs/>
          <w:noProof w:val="0"/>
          <w:sz w:val="24"/>
          <w:szCs w:val="24"/>
          <w:lang w:val="en-US"/>
        </w:rPr>
        <w:t>02879</w:t>
      </w:r>
    </w:p>
    <w:p w14:paraId="15E990BB" w14:textId="0E139C03" w:rsidR="004770F0" w:rsidRPr="00737122" w:rsidRDefault="00C7035B" w:rsidP="004770F0">
      <w:pPr>
        <w:pStyle w:val="Header"/>
        <w:tabs>
          <w:tab w:val="right" w:pos="9639"/>
        </w:tabs>
        <w:rPr>
          <w:noProof w:val="0"/>
          <w:sz w:val="24"/>
          <w:szCs w:val="24"/>
          <w:lang w:val="da-DK"/>
        </w:rPr>
      </w:pPr>
      <w:r>
        <w:rPr>
          <w:bCs/>
          <w:sz w:val="24"/>
        </w:rPr>
        <w:t>Changsha</w:t>
      </w:r>
      <w:r w:rsidR="004D7519">
        <w:rPr>
          <w:rFonts w:eastAsia="SimSun"/>
          <w:sz w:val="24"/>
          <w:szCs w:val="24"/>
          <w:lang w:eastAsia="zh-CN"/>
        </w:rPr>
        <w:t xml:space="preserve">, </w:t>
      </w:r>
      <w:r>
        <w:rPr>
          <w:rFonts w:eastAsia="SimSun"/>
          <w:sz w:val="24"/>
          <w:szCs w:val="24"/>
          <w:lang w:eastAsia="zh-CN"/>
        </w:rPr>
        <w:t>China</w:t>
      </w:r>
      <w:r w:rsidR="004D7519">
        <w:rPr>
          <w:rFonts w:eastAsia="SimSun"/>
          <w:sz w:val="24"/>
          <w:szCs w:val="24"/>
          <w:lang w:eastAsia="zh-CN"/>
        </w:rPr>
        <w:t xml:space="preserve">, </w:t>
      </w:r>
      <w:r>
        <w:rPr>
          <w:rFonts w:eastAsia="SimSun"/>
          <w:sz w:val="24"/>
          <w:szCs w:val="24"/>
          <w:lang w:eastAsia="zh-CN"/>
        </w:rPr>
        <w:t>15</w:t>
      </w:r>
      <w:r w:rsidR="0032157D">
        <w:rPr>
          <w:rFonts w:eastAsia="SimSun"/>
          <w:sz w:val="24"/>
          <w:szCs w:val="24"/>
          <w:lang w:eastAsia="zh-CN"/>
        </w:rPr>
        <w:t xml:space="preserve">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19</w:t>
      </w:r>
      <w:r w:rsidRPr="0099316A">
        <w:rPr>
          <w:rFonts w:eastAsia="SimSun"/>
          <w:sz w:val="24"/>
          <w:szCs w:val="24"/>
          <w:lang w:eastAsia="zh-CN"/>
        </w:rPr>
        <w:t xml:space="preserve"> </w:t>
      </w:r>
      <w:r>
        <w:rPr>
          <w:rFonts w:eastAsia="SimSun"/>
          <w:sz w:val="24"/>
          <w:szCs w:val="24"/>
          <w:lang w:eastAsia="zh-CN"/>
        </w:rPr>
        <w:t>April</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F23732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7.2</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5EFE8F9"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3C66FF">
        <w:rPr>
          <w:rFonts w:ascii="Arial" w:hAnsi="Arial" w:cs="Arial"/>
          <w:b/>
          <w:bCs/>
          <w:sz w:val="24"/>
          <w:lang w:val="en-US"/>
        </w:rPr>
        <w:t xml:space="preserve">Support of </w:t>
      </w:r>
      <w:r w:rsidR="003554A7">
        <w:rPr>
          <w:rFonts w:ascii="Arial" w:hAnsi="Arial" w:cs="Arial"/>
          <w:b/>
          <w:bCs/>
          <w:sz w:val="24"/>
          <w:lang w:val="en-US"/>
        </w:rPr>
        <w:t xml:space="preserve">Multi-Modality Services </w:t>
      </w:r>
      <w:r w:rsidR="003C66FF">
        <w:rPr>
          <w:rFonts w:ascii="Arial" w:hAnsi="Arial" w:cs="Arial"/>
          <w:b/>
          <w:bCs/>
          <w:sz w:val="24"/>
          <w:lang w:val="en-US"/>
        </w:rPr>
        <w:t>in Rel-19</w:t>
      </w:r>
      <w:r w:rsidR="003554A7">
        <w:rPr>
          <w:rFonts w:ascii="Arial" w:hAnsi="Arial" w:cs="Arial"/>
          <w:b/>
          <w:bCs/>
          <w:sz w:val="24"/>
          <w:lang w:val="en-US"/>
        </w:rPr>
        <w:t xml:space="preserve"> XR</w:t>
      </w:r>
    </w:p>
    <w:p w14:paraId="040E0889" w14:textId="75029C7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CB37D7" w:rsidRPr="007355BF">
        <w:rPr>
          <w:rFonts w:ascii="Arial" w:hAnsi="Arial" w:cs="Arial"/>
          <w:b/>
          <w:bCs/>
          <w:sz w:val="24"/>
        </w:rPr>
        <w:t>NR_XR_</w:t>
      </w:r>
      <w:r w:rsidR="00CB37D7">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50713496" w14:textId="08D45244" w:rsidR="003F2AC0" w:rsidRPr="003F2AC0" w:rsidRDefault="003F2AC0" w:rsidP="003F2AC0">
      <w:pPr>
        <w:pStyle w:val="B1"/>
        <w:jc w:val="both"/>
        <w:rPr>
          <w:i/>
          <w:iCs/>
        </w:rPr>
      </w:pPr>
      <w:r w:rsidRPr="003F2AC0">
        <w:rPr>
          <w:i/>
          <w:iCs/>
        </w:rPr>
        <w:t>-</w:t>
      </w:r>
      <w:r w:rsidRPr="003F2AC0">
        <w:rPr>
          <w:i/>
          <w:iCs/>
        </w:rPr>
        <w:tab/>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w:t>
      </w:r>
    </w:p>
    <w:p w14:paraId="7C05AAF8" w14:textId="68DEE9D7" w:rsidR="003F2AC0" w:rsidRDefault="0038631D" w:rsidP="000D48E4">
      <w:pPr>
        <w:jc w:val="both"/>
        <w:rPr>
          <w:iCs/>
          <w:lang w:val="en-US"/>
        </w:rPr>
      </w:pPr>
      <w:r>
        <w:rPr>
          <w:iCs/>
          <w:lang w:val="en-US"/>
        </w:rPr>
        <w:t xml:space="preserve">This paper provides some of our views about the considerations that RAN2 should </w:t>
      </w:r>
      <w:proofErr w:type="gramStart"/>
      <w:r>
        <w:rPr>
          <w:iCs/>
          <w:lang w:val="en-US"/>
        </w:rPr>
        <w:t>take into account</w:t>
      </w:r>
      <w:proofErr w:type="gramEnd"/>
      <w:r>
        <w:rPr>
          <w:iCs/>
          <w:lang w:val="en-US"/>
        </w:rPr>
        <w:t xml:space="preserve"> for this topic.</w:t>
      </w:r>
    </w:p>
    <w:p w14:paraId="7F134860" w14:textId="77777777" w:rsidR="009A039A" w:rsidRDefault="009A039A" w:rsidP="000D48E4">
      <w:pPr>
        <w:jc w:val="both"/>
        <w:rPr>
          <w:iCs/>
          <w:lang w:val="en-US"/>
        </w:rPr>
      </w:pPr>
    </w:p>
    <w:p w14:paraId="58BA6F5B" w14:textId="4F0AFC07" w:rsidR="00F334C4" w:rsidRDefault="003569D6" w:rsidP="00F334C4">
      <w:pPr>
        <w:pStyle w:val="Heading1"/>
        <w:rPr>
          <w:lang w:val="en-US"/>
        </w:rPr>
      </w:pPr>
      <w:r>
        <w:rPr>
          <w:lang w:val="en-US"/>
        </w:rPr>
        <w:t>Discussion</w:t>
      </w:r>
      <w:r w:rsidR="004E6A7D">
        <w:rPr>
          <w:lang w:val="en-US"/>
        </w:rPr>
        <w:t>s</w:t>
      </w:r>
    </w:p>
    <w:p w14:paraId="0C680A84" w14:textId="26D3399A" w:rsidR="0038631D" w:rsidRDefault="0038631D" w:rsidP="0038631D">
      <w:pPr>
        <w:pStyle w:val="Heading2"/>
        <w:rPr>
          <w:lang w:val="en-US"/>
        </w:rPr>
      </w:pPr>
      <w:r>
        <w:rPr>
          <w:lang w:val="en-US"/>
        </w:rPr>
        <w:t>Synchronization of Multiple Flows</w:t>
      </w:r>
    </w:p>
    <w:p w14:paraId="56075806" w14:textId="1C390C35" w:rsidR="0038631D" w:rsidRDefault="00E17B12" w:rsidP="00E17B12">
      <w:pPr>
        <w:jc w:val="both"/>
        <w:rPr>
          <w:lang w:eastAsia="en-GB"/>
        </w:rPr>
      </w:pPr>
      <w:r w:rsidRPr="00E17B12">
        <w:rPr>
          <w:lang w:val="en-US"/>
        </w:rPr>
        <w:t>A key requirement for multi-modality service is to ensure packets on multiple inter-related flows can be delivered simultaneously. According to TS 22.261</w:t>
      </w:r>
      <w:r w:rsidR="00E24506">
        <w:rPr>
          <w:lang w:val="en-US"/>
        </w:rPr>
        <w:t xml:space="preserve"> [2]</w:t>
      </w:r>
      <w:r w:rsidRPr="00E17B12">
        <w:rPr>
          <w:lang w:val="en-US"/>
        </w:rPr>
        <w:t xml:space="preserve">, </w:t>
      </w:r>
      <w:r>
        <w:rPr>
          <w:lang w:val="en-US"/>
        </w:rPr>
        <w:t>f</w:t>
      </w:r>
      <w:r w:rsidRPr="00E17B12">
        <w:rPr>
          <w:lang w:eastAsia="en-GB"/>
        </w:rPr>
        <w:t>or applications such as immersive VR, synchronisation between different media components is critical for optimisation of user experiences.</w:t>
      </w:r>
      <w:r w:rsidR="005E06CB">
        <w:rPr>
          <w:lang w:eastAsia="en-GB"/>
        </w:rPr>
        <w:t xml:space="preserve"> For instance, for </w:t>
      </w:r>
      <w:r w:rsidR="00D71F9B">
        <w:rPr>
          <w:lang w:eastAsia="en-GB"/>
        </w:rPr>
        <w:t>VR applications that require visual -tactile synchronization, the visual media component should not be delayed for more than 15ms when comparing to the tactile media component.</w:t>
      </w:r>
    </w:p>
    <w:p w14:paraId="32DDF853" w14:textId="418D0ADC" w:rsidR="00D71F9B" w:rsidRPr="00E17B12" w:rsidRDefault="00D71F9B" w:rsidP="00E17B12">
      <w:pPr>
        <w:jc w:val="both"/>
        <w:rPr>
          <w:lang w:val="en-US"/>
        </w:rPr>
      </w:pPr>
      <w:r>
        <w:rPr>
          <w:lang w:eastAsia="en-GB"/>
        </w:rPr>
        <w:t>To ensure such synchronization</w:t>
      </w:r>
      <w:r w:rsidR="000A4784">
        <w:rPr>
          <w:lang w:eastAsia="en-GB"/>
        </w:rPr>
        <w:t xml:space="preserve"> in downlink</w:t>
      </w:r>
      <w:r>
        <w:rPr>
          <w:lang w:eastAsia="en-GB"/>
        </w:rPr>
        <w:t>, we believe it can be largely achieved based on network implementation (e.g. with proper resource allocation). For uplink, due to the dynamic nature of packet arrival time on different flows, some new UE behaviours</w:t>
      </w:r>
      <w:r w:rsidR="000A4784">
        <w:rPr>
          <w:lang w:eastAsia="en-GB"/>
        </w:rPr>
        <w:t xml:space="preserve">, features, and </w:t>
      </w:r>
      <w:r>
        <w:rPr>
          <w:lang w:eastAsia="en-GB"/>
        </w:rPr>
        <w:t xml:space="preserve">configurations </w:t>
      </w:r>
      <w:r w:rsidR="000A4784">
        <w:rPr>
          <w:lang w:eastAsia="en-GB"/>
        </w:rPr>
        <w:t>may have to be</w:t>
      </w:r>
      <w:r>
        <w:rPr>
          <w:lang w:eastAsia="en-GB"/>
        </w:rPr>
        <w:t xml:space="preserve"> defined to facilitate achieving the desired synchronization. Hence, if it is justified in RAN2 that some enhancements should be introduced for multi-modal synchronization, we think the focus should be on uplink only.</w:t>
      </w:r>
    </w:p>
    <w:p w14:paraId="592098FB" w14:textId="6A3F1E22" w:rsidR="00CB74DB" w:rsidRDefault="00EA4D74" w:rsidP="00DE0C52">
      <w:pPr>
        <w:jc w:val="both"/>
        <w:rPr>
          <w:b/>
          <w:bCs/>
          <w:color w:val="000000" w:themeColor="text1"/>
          <w:lang w:val="en-US"/>
        </w:rPr>
      </w:pPr>
      <w:r>
        <w:rPr>
          <w:b/>
          <w:bCs/>
          <w:color w:val="000000" w:themeColor="text1"/>
          <w:lang w:val="en-US"/>
        </w:rPr>
        <w:t>Proposal</w:t>
      </w:r>
      <w:r w:rsidR="00D71F9B">
        <w:rPr>
          <w:b/>
          <w:bCs/>
          <w:color w:val="000000" w:themeColor="text1"/>
          <w:lang w:val="en-US"/>
        </w:rPr>
        <w:t xml:space="preserve"> 1</w:t>
      </w:r>
      <w:r w:rsidR="00DE0C52" w:rsidRPr="004B12F8">
        <w:rPr>
          <w:b/>
          <w:bCs/>
          <w:color w:val="000000" w:themeColor="text1"/>
          <w:lang w:val="en-US"/>
        </w:rPr>
        <w:t xml:space="preserve">: </w:t>
      </w:r>
      <w:r w:rsidR="00D71F9B">
        <w:rPr>
          <w:b/>
          <w:bCs/>
          <w:color w:val="000000" w:themeColor="text1"/>
          <w:lang w:val="en-US"/>
        </w:rPr>
        <w:t xml:space="preserve">If it is justified to specify any enhancement for multi-modal synchronization in RAN2, only </w:t>
      </w:r>
      <w:r w:rsidR="000A4784">
        <w:rPr>
          <w:b/>
          <w:bCs/>
          <w:color w:val="000000" w:themeColor="text1"/>
          <w:lang w:val="en-US"/>
        </w:rPr>
        <w:t>u</w:t>
      </w:r>
      <w:r w:rsidR="00D71F9B">
        <w:rPr>
          <w:b/>
          <w:bCs/>
          <w:color w:val="000000" w:themeColor="text1"/>
          <w:lang w:val="en-US"/>
        </w:rPr>
        <w:t>plink should be considered</w:t>
      </w:r>
      <w:r w:rsidR="000A4784">
        <w:rPr>
          <w:b/>
          <w:bCs/>
          <w:color w:val="000000" w:themeColor="text1"/>
          <w:lang w:val="en-US"/>
        </w:rPr>
        <w:t xml:space="preserve"> in Rel-19</w:t>
      </w:r>
      <w:r w:rsidR="00D71F9B">
        <w:rPr>
          <w:b/>
          <w:bCs/>
          <w:color w:val="000000" w:themeColor="text1"/>
          <w:lang w:val="en-US"/>
        </w:rPr>
        <w:t>.</w:t>
      </w:r>
    </w:p>
    <w:p w14:paraId="2E80006C" w14:textId="77777777" w:rsidR="00D71F9B" w:rsidRDefault="00D71F9B" w:rsidP="00DE0C52">
      <w:pPr>
        <w:jc w:val="both"/>
        <w:rPr>
          <w:b/>
          <w:bCs/>
          <w:color w:val="000000" w:themeColor="text1"/>
          <w:lang w:val="en-US"/>
        </w:rPr>
      </w:pPr>
    </w:p>
    <w:p w14:paraId="7EF5B7E5" w14:textId="6B620EA1" w:rsidR="0044414E" w:rsidRDefault="0044414E" w:rsidP="006E5AB7">
      <w:pPr>
        <w:jc w:val="both"/>
        <w:rPr>
          <w:color w:val="000000" w:themeColor="text1"/>
          <w:lang w:val="en-US"/>
        </w:rPr>
      </w:pPr>
      <w:r>
        <w:rPr>
          <w:color w:val="000000" w:themeColor="text1"/>
          <w:lang w:val="en-US"/>
        </w:rPr>
        <w:t xml:space="preserve">In Rel-18, SA2 has defined </w:t>
      </w:r>
      <w:r w:rsidR="006E5AB7">
        <w:rPr>
          <w:color w:val="000000" w:themeColor="text1"/>
          <w:lang w:val="en-US"/>
        </w:rPr>
        <w:t xml:space="preserve">specific mechanisms for policy control enhancement to support multi-modal services. In particular, </w:t>
      </w:r>
      <w:r w:rsidR="000A4784">
        <w:rPr>
          <w:color w:val="000000" w:themeColor="text1"/>
          <w:lang w:val="en-US"/>
        </w:rPr>
        <w:t xml:space="preserve">the </w:t>
      </w:r>
      <w:r w:rsidR="006E5AB7">
        <w:rPr>
          <w:color w:val="000000" w:themeColor="text1"/>
          <w:lang w:val="en-US"/>
        </w:rPr>
        <w:t xml:space="preserve">AF </w:t>
      </w:r>
      <w:proofErr w:type="gramStart"/>
      <w:r w:rsidR="006E5AB7">
        <w:rPr>
          <w:color w:val="000000" w:themeColor="text1"/>
          <w:lang w:val="en-US"/>
        </w:rPr>
        <w:t>is able to</w:t>
      </w:r>
      <w:proofErr w:type="gramEnd"/>
      <w:r w:rsidR="006E5AB7">
        <w:rPr>
          <w:color w:val="000000" w:themeColor="text1"/>
          <w:lang w:val="en-US"/>
        </w:rPr>
        <w:t xml:space="preserve"> provide certain information about a data flow that belongs to a multi-modal service, according to TS 23.501</w:t>
      </w:r>
      <w:r w:rsidR="00E24506">
        <w:rPr>
          <w:color w:val="000000" w:themeColor="text1"/>
          <w:lang w:val="en-US"/>
        </w:rPr>
        <w:t xml:space="preserve"> [3]</w:t>
      </w:r>
      <w:r w:rsidR="006E5AB7">
        <w:rPr>
          <w:color w:val="000000" w:themeColor="text1"/>
          <w:lang w:val="en-US"/>
        </w:rPr>
        <w:t>:</w:t>
      </w:r>
    </w:p>
    <w:tbl>
      <w:tblPr>
        <w:tblStyle w:val="TableGrid"/>
        <w:tblW w:w="0" w:type="auto"/>
        <w:tblLook w:val="04A0" w:firstRow="1" w:lastRow="0" w:firstColumn="1" w:lastColumn="0" w:noHBand="0" w:noVBand="1"/>
      </w:tblPr>
      <w:tblGrid>
        <w:gridCol w:w="9350"/>
      </w:tblGrid>
      <w:tr w:rsidR="006E5AB7" w14:paraId="6AFEBD53" w14:textId="77777777" w:rsidTr="006E5AB7">
        <w:tc>
          <w:tcPr>
            <w:tcW w:w="9350" w:type="dxa"/>
          </w:tcPr>
          <w:p w14:paraId="1775340A" w14:textId="77777777" w:rsidR="006E5AB7" w:rsidRDefault="006E5AB7" w:rsidP="006E5AB7">
            <w:r>
              <w:lastRenderedPageBreak/>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065A1F81" w14:textId="77777777" w:rsidR="006E5AB7" w:rsidRDefault="006E5AB7" w:rsidP="006E5AB7">
            <w:pPr>
              <w:pStyle w:val="B1"/>
            </w:pPr>
            <w:r>
              <w:t>-</w:t>
            </w:r>
            <w:r>
              <w:tab/>
              <w:t xml:space="preserve">The </w:t>
            </w:r>
            <w:r w:rsidRPr="006E5AB7">
              <w:rPr>
                <w:highlight w:val="yellow"/>
              </w:rPr>
              <w:t>Multi-modal Service ID is an explicit indication that data flows are related to a multi-modal service</w:t>
            </w:r>
            <w:r>
              <w:t>. The PCF may use this information to derive the correct PCC rules and to apply appropriate QoS policies for the data flows that are part of a specific multi-modal application.</w:t>
            </w:r>
          </w:p>
          <w:p w14:paraId="4A77505C" w14:textId="77777777" w:rsidR="006E5AB7" w:rsidRDefault="006E5AB7" w:rsidP="006E5AB7">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2BBF752B" w14:textId="655647F6" w:rsidR="006E5AB7" w:rsidRPr="006E5AB7" w:rsidRDefault="006E5AB7" w:rsidP="006E5AB7">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tc>
      </w:tr>
    </w:tbl>
    <w:p w14:paraId="2B4182A6" w14:textId="77777777" w:rsidR="006E5AB7" w:rsidRDefault="006E5AB7" w:rsidP="00DE0C52">
      <w:pPr>
        <w:jc w:val="both"/>
        <w:rPr>
          <w:color w:val="000000" w:themeColor="text1"/>
          <w:lang w:val="en-US"/>
        </w:rPr>
      </w:pPr>
    </w:p>
    <w:p w14:paraId="45FB0414" w14:textId="5A7084A8" w:rsidR="006E5AB7" w:rsidRDefault="006E5AB7" w:rsidP="00DE0C52">
      <w:pPr>
        <w:jc w:val="both"/>
        <w:rPr>
          <w:color w:val="000000" w:themeColor="text1"/>
          <w:lang w:val="en-US"/>
        </w:rPr>
      </w:pPr>
      <w:r>
        <w:rPr>
          <w:color w:val="000000" w:themeColor="text1"/>
          <w:lang w:val="en-US"/>
        </w:rPr>
        <w:t xml:space="preserve">With the Multi-modal Service ID associated to a data flow, the PCF </w:t>
      </w:r>
      <w:r w:rsidR="00552375">
        <w:rPr>
          <w:color w:val="000000" w:themeColor="text1"/>
          <w:lang w:val="en-US"/>
        </w:rPr>
        <w:t>can</w:t>
      </w:r>
      <w:r>
        <w:rPr>
          <w:color w:val="000000" w:themeColor="text1"/>
          <w:lang w:val="en-US"/>
        </w:rPr>
        <w:t xml:space="preserve"> know which data flows are correlated to each other in terms of multi-modal services. However, such information is </w:t>
      </w:r>
      <w:r w:rsidR="00FF2A77">
        <w:rPr>
          <w:color w:val="000000" w:themeColor="text1"/>
          <w:lang w:val="en-US"/>
        </w:rPr>
        <w:t>only visible to PCF. If RAN2 wants to introduce any RAN features to facilitate multi-modal services, we think a key prerequisite is RAN-awareness of multi-modal synchronization requirement. In other words, RAN needs to know which data flows are desired to be delivered at the same time. Without such knowledge at RAN, it is not able to configure the corresponding uplink features accordingly.</w:t>
      </w:r>
    </w:p>
    <w:p w14:paraId="487A0F09" w14:textId="35D9DCE5" w:rsidR="00FF2A77" w:rsidRDefault="00FF2A77" w:rsidP="00DE0C52">
      <w:pPr>
        <w:jc w:val="both"/>
        <w:rPr>
          <w:color w:val="000000" w:themeColor="text1"/>
          <w:lang w:val="en-US"/>
        </w:rPr>
      </w:pPr>
      <w:r>
        <w:rPr>
          <w:color w:val="000000" w:themeColor="text1"/>
          <w:lang w:val="en-US"/>
        </w:rPr>
        <w:t xml:space="preserve">Akin to traffic information for a QoS flow that we have examined in Rel-18, we think RAN may be able to get the information about whether a QoS flow pertaining to any multi-modality group via either CN or UE. If the information is to be provided by the CN, one possible way is to pass (by e.g. PCF) the information such as the associations between data flows and Multi-modal Service ID to the SMF, and then SMF could further forward it to RAN </w:t>
      </w:r>
      <w:r w:rsidR="00552375">
        <w:rPr>
          <w:color w:val="000000" w:themeColor="text1"/>
          <w:lang w:val="en-US"/>
        </w:rPr>
        <w:t>(e.g. based on the existing TSCAI framework)</w:t>
      </w:r>
      <w:r>
        <w:rPr>
          <w:color w:val="000000" w:themeColor="text1"/>
          <w:lang w:val="en-US"/>
        </w:rPr>
        <w:t xml:space="preserve">. However, </w:t>
      </w:r>
      <w:r w:rsidR="00FB3D36">
        <w:rPr>
          <w:color w:val="000000" w:themeColor="text1"/>
          <w:lang w:val="en-US"/>
        </w:rPr>
        <w:t xml:space="preserve">the feasibility of transferring such information to RAN from the CN should be confirmed by SA2, and hence we suggest RAN2 </w:t>
      </w:r>
      <w:r w:rsidR="000A4784">
        <w:rPr>
          <w:color w:val="000000" w:themeColor="text1"/>
          <w:lang w:val="en-US"/>
        </w:rPr>
        <w:t>to</w:t>
      </w:r>
      <w:r w:rsidR="00FB3D36">
        <w:rPr>
          <w:color w:val="000000" w:themeColor="text1"/>
          <w:lang w:val="en-US"/>
        </w:rPr>
        <w:t xml:space="preserve"> send a LS to SA2 regarding this issue.</w:t>
      </w:r>
    </w:p>
    <w:p w14:paraId="7262A61F" w14:textId="407BE121" w:rsidR="00FB3D36" w:rsidRDefault="00FB3D36" w:rsidP="00FB3D36">
      <w:pPr>
        <w:jc w:val="both"/>
        <w:rPr>
          <w:b/>
          <w:bCs/>
          <w:color w:val="000000" w:themeColor="text1"/>
          <w:lang w:val="en-US"/>
        </w:rPr>
      </w:pPr>
      <w:r>
        <w:rPr>
          <w:b/>
          <w:bCs/>
          <w:color w:val="000000" w:themeColor="text1"/>
          <w:lang w:val="en-US"/>
        </w:rPr>
        <w:t>Proposal 2</w:t>
      </w:r>
      <w:r w:rsidRPr="004B12F8">
        <w:rPr>
          <w:b/>
          <w:bCs/>
          <w:color w:val="000000" w:themeColor="text1"/>
          <w:lang w:val="en-US"/>
        </w:rPr>
        <w:t xml:space="preserve">: </w:t>
      </w:r>
      <w:r>
        <w:rPr>
          <w:b/>
          <w:bCs/>
          <w:color w:val="000000" w:themeColor="text1"/>
          <w:lang w:val="en-US"/>
        </w:rPr>
        <w:t>RAN2 should send a LS to SA2, to confirm the feasibility of transferring the information from CN to RAN about synchronization requirement among multiple data flows.</w:t>
      </w:r>
    </w:p>
    <w:p w14:paraId="71905051" w14:textId="77777777" w:rsidR="00FB3D36" w:rsidRDefault="00FB3D36" w:rsidP="00FB3D36">
      <w:pPr>
        <w:jc w:val="both"/>
        <w:rPr>
          <w:b/>
          <w:bCs/>
          <w:color w:val="000000" w:themeColor="text1"/>
          <w:lang w:val="en-US"/>
        </w:rPr>
      </w:pPr>
    </w:p>
    <w:p w14:paraId="0C2E4748" w14:textId="7F732623" w:rsidR="00FB3D36" w:rsidRDefault="00FB3D36" w:rsidP="00FB3D36">
      <w:pPr>
        <w:jc w:val="both"/>
        <w:rPr>
          <w:color w:val="000000" w:themeColor="text1"/>
          <w:lang w:val="en-US"/>
        </w:rPr>
      </w:pPr>
      <w:r>
        <w:rPr>
          <w:color w:val="000000" w:themeColor="text1"/>
          <w:lang w:val="en-US"/>
        </w:rPr>
        <w:t>On the other hand, such information can be provided by the UE as well. By extending the UAI of uplink traffic information defined in Rel-18 XR, the UE could additionally indicate whether a QoS flow has a synchronization requirement with at least one other QoS flow</w:t>
      </w:r>
      <w:r w:rsidR="00552375">
        <w:rPr>
          <w:color w:val="000000" w:themeColor="text1"/>
          <w:lang w:val="en-US"/>
        </w:rPr>
        <w:t>(s)</w:t>
      </w:r>
      <w:r>
        <w:rPr>
          <w:color w:val="000000" w:themeColor="text1"/>
          <w:lang w:val="en-US"/>
        </w:rPr>
        <w:t xml:space="preserve">. </w:t>
      </w:r>
    </w:p>
    <w:p w14:paraId="18F7B3DD" w14:textId="41053C9B" w:rsidR="00FB3D36" w:rsidRDefault="00FB3D36" w:rsidP="00FB3D36">
      <w:pPr>
        <w:jc w:val="both"/>
        <w:rPr>
          <w:b/>
          <w:bCs/>
          <w:color w:val="000000" w:themeColor="text1"/>
          <w:lang w:val="en-US"/>
        </w:rPr>
      </w:pPr>
      <w:r>
        <w:rPr>
          <w:b/>
          <w:bCs/>
          <w:color w:val="000000" w:themeColor="text1"/>
          <w:lang w:val="en-US"/>
        </w:rPr>
        <w:t>Proposal 3</w:t>
      </w:r>
      <w:r w:rsidRPr="004B12F8">
        <w:rPr>
          <w:b/>
          <w:bCs/>
          <w:color w:val="000000" w:themeColor="text1"/>
          <w:lang w:val="en-US"/>
        </w:rPr>
        <w:t xml:space="preserve">: </w:t>
      </w:r>
      <w:r>
        <w:rPr>
          <w:b/>
          <w:bCs/>
          <w:color w:val="000000" w:themeColor="text1"/>
          <w:lang w:val="en-US"/>
        </w:rPr>
        <w:t xml:space="preserve">RAN2 can consider </w:t>
      </w:r>
      <w:r w:rsidR="00552375">
        <w:rPr>
          <w:b/>
          <w:bCs/>
          <w:color w:val="000000" w:themeColor="text1"/>
          <w:lang w:val="en-US"/>
        </w:rPr>
        <w:t>extending</w:t>
      </w:r>
      <w:r>
        <w:rPr>
          <w:b/>
          <w:bCs/>
          <w:color w:val="000000" w:themeColor="text1"/>
          <w:lang w:val="en-US"/>
        </w:rPr>
        <w:t xml:space="preserve"> the UAI, </w:t>
      </w:r>
      <w:r w:rsidR="00552375">
        <w:rPr>
          <w:b/>
          <w:bCs/>
          <w:color w:val="000000" w:themeColor="text1"/>
          <w:lang w:val="en-US"/>
        </w:rPr>
        <w:t>that enables</w:t>
      </w:r>
      <w:r>
        <w:rPr>
          <w:b/>
          <w:bCs/>
          <w:color w:val="000000" w:themeColor="text1"/>
          <w:lang w:val="en-US"/>
        </w:rPr>
        <w:t xml:space="preserve"> the UE to provide the information of synchronization requirement among multiple </w:t>
      </w:r>
      <w:r w:rsidR="00552375">
        <w:rPr>
          <w:b/>
          <w:bCs/>
          <w:color w:val="000000" w:themeColor="text1"/>
          <w:lang w:val="en-US"/>
        </w:rPr>
        <w:t xml:space="preserve">uplink </w:t>
      </w:r>
      <w:r>
        <w:rPr>
          <w:b/>
          <w:bCs/>
          <w:color w:val="000000" w:themeColor="text1"/>
          <w:lang w:val="en-US"/>
        </w:rPr>
        <w:t>QoS flows</w:t>
      </w:r>
      <w:r w:rsidR="00552375">
        <w:rPr>
          <w:b/>
          <w:bCs/>
          <w:color w:val="000000" w:themeColor="text1"/>
          <w:lang w:val="en-US"/>
        </w:rPr>
        <w:t xml:space="preserve"> to RAN.</w:t>
      </w:r>
    </w:p>
    <w:p w14:paraId="51070C41" w14:textId="77777777" w:rsidR="00FB3D36" w:rsidRDefault="00FB3D36" w:rsidP="00FB3D36">
      <w:pPr>
        <w:jc w:val="both"/>
        <w:rPr>
          <w:color w:val="000000" w:themeColor="text1"/>
          <w:lang w:val="en-US"/>
        </w:rPr>
      </w:pPr>
    </w:p>
    <w:p w14:paraId="5E858DE4" w14:textId="3B3B0B8D" w:rsidR="00552375" w:rsidRDefault="00552375" w:rsidP="00FB3D36">
      <w:pPr>
        <w:jc w:val="both"/>
        <w:rPr>
          <w:color w:val="000000" w:themeColor="text1"/>
          <w:lang w:val="en-US"/>
        </w:rPr>
      </w:pPr>
      <w:r>
        <w:rPr>
          <w:color w:val="000000" w:themeColor="text1"/>
          <w:lang w:val="en-US"/>
        </w:rPr>
        <w:t xml:space="preserve">Assuming the RAN </w:t>
      </w:r>
      <w:r w:rsidR="000A4784">
        <w:rPr>
          <w:color w:val="000000" w:themeColor="text1"/>
          <w:lang w:val="en-US"/>
        </w:rPr>
        <w:t>can</w:t>
      </w:r>
      <w:r>
        <w:rPr>
          <w:color w:val="000000" w:themeColor="text1"/>
          <w:lang w:val="en-US"/>
        </w:rPr>
        <w:t xml:space="preserve"> get the information of synchronization requirement from either CN or UE, the next question is whether any enhancement of RAN should be introduced. At this early stage, </w:t>
      </w:r>
      <w:r w:rsidR="00E24506">
        <w:rPr>
          <w:color w:val="000000" w:themeColor="text1"/>
          <w:lang w:val="en-US"/>
        </w:rPr>
        <w:t>we think RAN2 can decide if any enhancement is to be specified after we confirm the feasibility of RAN awareness on multi-modal synchronization.</w:t>
      </w:r>
    </w:p>
    <w:p w14:paraId="23CB8921" w14:textId="5D54EF67" w:rsidR="00FE1EC9" w:rsidRDefault="00FE1EC9" w:rsidP="00FE1EC9">
      <w:pPr>
        <w:jc w:val="both"/>
        <w:rPr>
          <w:b/>
          <w:bCs/>
          <w:color w:val="000000" w:themeColor="text1"/>
          <w:lang w:val="en-US"/>
        </w:rPr>
      </w:pPr>
      <w:r>
        <w:rPr>
          <w:b/>
          <w:bCs/>
          <w:color w:val="000000" w:themeColor="text1"/>
          <w:lang w:val="en-US"/>
        </w:rPr>
        <w:t>Proposal 4</w:t>
      </w:r>
      <w:r w:rsidRPr="004B12F8">
        <w:rPr>
          <w:b/>
          <w:bCs/>
          <w:color w:val="000000" w:themeColor="text1"/>
          <w:lang w:val="en-US"/>
        </w:rPr>
        <w:t xml:space="preserve">: </w:t>
      </w:r>
      <w:r w:rsidR="00E24506">
        <w:rPr>
          <w:b/>
          <w:bCs/>
          <w:color w:val="000000" w:themeColor="text1"/>
          <w:lang w:val="en-US"/>
        </w:rPr>
        <w:t>RAN2 can decide if any enhancement is to be introduced for multi-modal synchronization after the feasibility of RAN-Awareness of multi-modal synchronization is confirmed.</w:t>
      </w:r>
    </w:p>
    <w:p w14:paraId="7BABF148" w14:textId="77777777" w:rsidR="006E5AB7" w:rsidRPr="0044414E" w:rsidRDefault="006E5AB7" w:rsidP="00DE0C52">
      <w:pPr>
        <w:jc w:val="both"/>
        <w:rPr>
          <w:color w:val="000000" w:themeColor="text1"/>
          <w:lang w:val="en-US"/>
        </w:rPr>
      </w:pPr>
    </w:p>
    <w:p w14:paraId="5F8132DA" w14:textId="0C1A5886" w:rsidR="006E26B7" w:rsidRDefault="006E26B7" w:rsidP="006E26B7">
      <w:pPr>
        <w:pStyle w:val="Heading2"/>
        <w:rPr>
          <w:lang w:val="en-US"/>
        </w:rPr>
      </w:pPr>
      <w:r>
        <w:rPr>
          <w:lang w:val="en-US"/>
        </w:rPr>
        <w:t xml:space="preserve">Multiple </w:t>
      </w:r>
      <w:r w:rsidR="00E24506">
        <w:rPr>
          <w:lang w:val="en-US"/>
        </w:rPr>
        <w:t xml:space="preserve">Active </w:t>
      </w:r>
      <w:r>
        <w:rPr>
          <w:lang w:val="en-US"/>
        </w:rPr>
        <w:t>DRX Configurations for Multi-Modality</w:t>
      </w:r>
    </w:p>
    <w:p w14:paraId="2E6F51A8" w14:textId="073BC312" w:rsidR="0044414E" w:rsidRDefault="0044414E" w:rsidP="0044414E">
      <w:pPr>
        <w:jc w:val="both"/>
        <w:rPr>
          <w:lang w:val="en-US"/>
        </w:rPr>
      </w:pPr>
      <w:r>
        <w:rPr>
          <w:lang w:val="en-US"/>
        </w:rPr>
        <w:t xml:space="preserve">It is indeed beneficial if the DRX cycle is configured to match the XR traffic periodicity, which allows the UE to monitor PDCCH only when it intends to transmit/receive a packet in accordance with the expected packet arrival rate. When the UE does not intend to transmit/receive the data, it does not monitor PDCCH and can save UE power.  If there is only one traffic flow whose traffic periodicity can match the supported DRX periodicity, the situation is quite </w:t>
      </w:r>
      <w:r>
        <w:rPr>
          <w:lang w:val="en-US"/>
        </w:rPr>
        <w:lastRenderedPageBreak/>
        <w:t xml:space="preserve">straightforward as the UE can be configured with a DRX cycle that matches the traffic periodicity of the flow. </w:t>
      </w:r>
      <w:r w:rsidR="00FE1EC9">
        <w:rPr>
          <w:lang w:val="en-US"/>
        </w:rPr>
        <w:t xml:space="preserve">To support </w:t>
      </w:r>
      <w:r w:rsidR="000A4784">
        <w:rPr>
          <w:lang w:val="en-US"/>
        </w:rPr>
        <w:t xml:space="preserve">XR </w:t>
      </w:r>
      <w:r w:rsidR="00FE1EC9">
        <w:rPr>
          <w:lang w:val="en-US"/>
        </w:rPr>
        <w:t>traffic flows with non-integer periodicities (such as frame rates of 30, 60, and 90 fps), RAN2 has introduced rational number based on DRX cycles in Rel-18.</w:t>
      </w:r>
    </w:p>
    <w:p w14:paraId="7F9C68B4" w14:textId="29AAF8FD" w:rsidR="0044414E" w:rsidRDefault="00FE1EC9" w:rsidP="0044414E">
      <w:pPr>
        <w:jc w:val="both"/>
        <w:rPr>
          <w:lang w:val="en-US"/>
        </w:rPr>
      </w:pPr>
      <w:r>
        <w:rPr>
          <w:lang w:val="en-US"/>
        </w:rPr>
        <w:t xml:space="preserve">To support multi-modal services involving multiple traffic flows, one single DRX configuration may be insufficient to support efficient power saving. For instance, in </w:t>
      </w:r>
      <w:r w:rsidR="0044414E">
        <w:rPr>
          <w:lang w:val="en-US"/>
        </w:rPr>
        <w:t>video there may be two different streams corresponding to displays for FOV (Field of View) and omnidirectional view respectively</w:t>
      </w:r>
      <w:r>
        <w:rPr>
          <w:lang w:val="en-US"/>
        </w:rPr>
        <w:t>, and</w:t>
      </w:r>
      <w:r w:rsidR="0044414E">
        <w:rPr>
          <w:lang w:val="en-US"/>
        </w:rPr>
        <w:t xml:space="preserve"> the required refresh rate for these two streams can be quite different</w:t>
      </w:r>
      <w:r>
        <w:rPr>
          <w:lang w:val="en-US"/>
        </w:rPr>
        <w:t>, which consequently result in different packet arrival rate for these flows</w:t>
      </w:r>
      <w:r w:rsidR="003045FC">
        <w:rPr>
          <w:lang w:val="en-US"/>
        </w:rPr>
        <w:t>.</w:t>
      </w:r>
    </w:p>
    <w:p w14:paraId="2E69B6F4" w14:textId="2D5DBEBC" w:rsidR="0044414E" w:rsidRDefault="0044414E" w:rsidP="0044414E">
      <w:pPr>
        <w:jc w:val="both"/>
        <w:rPr>
          <w:lang w:val="en-US"/>
        </w:rPr>
      </w:pPr>
      <w:r>
        <w:rPr>
          <w:lang w:val="en-US"/>
        </w:rPr>
        <w:t xml:space="preserve">Thus, </w:t>
      </w:r>
      <w:r w:rsidR="000A4784">
        <w:rPr>
          <w:lang w:val="en-US"/>
        </w:rPr>
        <w:t xml:space="preserve">in our opinions </w:t>
      </w:r>
      <w:r>
        <w:rPr>
          <w:lang w:val="en-US"/>
        </w:rPr>
        <w:t xml:space="preserve">it is inefficient and not flexible enough to support multiple traffic flows concurrently with only one active DRX configuration. Specifically, if the DRX configuration is set in accordance with the periodicity of one of the traffic flows, some packets from another traffic flow may arrive in C-DRX OFF-duration and cannot be scheduled on time. This obviously can severely degrade the latency performance and hence </w:t>
      </w:r>
      <w:r w:rsidR="000A4784">
        <w:rPr>
          <w:lang w:val="en-US"/>
        </w:rPr>
        <w:t xml:space="preserve">XR </w:t>
      </w:r>
      <w:r>
        <w:rPr>
          <w:lang w:val="en-US"/>
        </w:rPr>
        <w:t>user experience.</w:t>
      </w:r>
    </w:p>
    <w:p w14:paraId="289C8855" w14:textId="2C9A1740" w:rsidR="0044414E" w:rsidRDefault="0044414E" w:rsidP="0044414E">
      <w:pPr>
        <w:jc w:val="both"/>
        <w:rPr>
          <w:lang w:val="en-US"/>
        </w:rPr>
      </w:pPr>
      <w:proofErr w:type="gramStart"/>
      <w:r>
        <w:rPr>
          <w:lang w:val="en-US"/>
        </w:rPr>
        <w:t>In light of</w:t>
      </w:r>
      <w:proofErr w:type="gramEnd"/>
      <w:r>
        <w:rPr>
          <w:lang w:val="en-US"/>
        </w:rPr>
        <w:t xml:space="preserve"> this, </w:t>
      </w:r>
      <w:r w:rsidR="00FE1EC9">
        <w:rPr>
          <w:lang w:val="en-US"/>
        </w:rPr>
        <w:t xml:space="preserve">for multi-modal services </w:t>
      </w:r>
      <w:r>
        <w:rPr>
          <w:lang w:val="en-US"/>
        </w:rPr>
        <w:t xml:space="preserve">we think it is beneficial to have multiple DRX configurations </w:t>
      </w:r>
      <w:r w:rsidR="000A4784">
        <w:rPr>
          <w:lang w:val="en-US"/>
        </w:rPr>
        <w:t xml:space="preserve">that are activated </w:t>
      </w:r>
      <w:r>
        <w:rPr>
          <w:lang w:val="en-US"/>
        </w:rPr>
        <w:t>simultaneously, in order to make sure the packets from different traffic flows can all be served on time. For example, two DRX configurations can be active at the same time, where the first DRX configuration is configured to handle video traffic flow by setting the periodicity to match video packet arrival rate, and the second DRX configuration is configured to handle audio traffic flow by setting the periodicity to match audio packet arrival rate. It is worth highlighting that, we are not suggesting that multiple active DRX configurations are always needed, but at least from specification perspective we should have such flexibility when it is deemed necessary, depending on the concerned XR application.</w:t>
      </w:r>
    </w:p>
    <w:p w14:paraId="5ACCE84A" w14:textId="73DDFD93" w:rsidR="00E24506" w:rsidRDefault="00E24506" w:rsidP="00E24506">
      <w:pPr>
        <w:jc w:val="both"/>
        <w:rPr>
          <w:b/>
          <w:bCs/>
          <w:color w:val="000000" w:themeColor="text1"/>
          <w:lang w:val="en-US"/>
        </w:rPr>
      </w:pPr>
      <w:r>
        <w:rPr>
          <w:b/>
          <w:bCs/>
          <w:color w:val="000000" w:themeColor="text1"/>
          <w:lang w:val="en-US"/>
        </w:rPr>
        <w:t>Proposal 5</w:t>
      </w:r>
      <w:r w:rsidRPr="004B12F8">
        <w:rPr>
          <w:b/>
          <w:bCs/>
          <w:color w:val="000000" w:themeColor="text1"/>
          <w:lang w:val="en-US"/>
        </w:rPr>
        <w:t xml:space="preserve">: </w:t>
      </w:r>
      <w:r>
        <w:rPr>
          <w:b/>
          <w:bCs/>
          <w:color w:val="000000" w:themeColor="text1"/>
          <w:lang w:val="en-US"/>
        </w:rPr>
        <w:t>To support multi-modal services involving multiple traffic flows with different packet arrival rates, RAN2 should consider multiple active DRX configurations</w:t>
      </w:r>
      <w:r w:rsidR="000A4784">
        <w:rPr>
          <w:b/>
          <w:bCs/>
          <w:color w:val="000000" w:themeColor="text1"/>
          <w:lang w:val="en-US"/>
        </w:rPr>
        <w:t xml:space="preserve"> in Rel-19</w:t>
      </w:r>
      <w:r>
        <w:rPr>
          <w:b/>
          <w:bCs/>
          <w:color w:val="000000" w:themeColor="text1"/>
          <w:lang w:val="en-US"/>
        </w:rPr>
        <w:t>.</w:t>
      </w:r>
    </w:p>
    <w:p w14:paraId="153517F6" w14:textId="77777777" w:rsidR="001B6BBF" w:rsidRPr="00B06924" w:rsidRDefault="001B6BBF"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3FB2CE58" w14:textId="640F8152" w:rsidR="00F136C7" w:rsidRDefault="00F136C7" w:rsidP="00483F97">
      <w:pPr>
        <w:jc w:val="both"/>
        <w:rPr>
          <w:iCs/>
          <w:lang w:val="en-US"/>
        </w:rPr>
      </w:pPr>
      <w:r>
        <w:rPr>
          <w:iCs/>
          <w:lang w:val="en-US"/>
        </w:rPr>
        <w:t xml:space="preserve">In this paper, we </w:t>
      </w:r>
      <w:r w:rsidR="00E24506">
        <w:rPr>
          <w:iCs/>
          <w:lang w:val="en-US"/>
        </w:rPr>
        <w:t>have discussed some aspects that RAN2 can consider for Rel-19 XR on multi-modal services, with the following proposals:</w:t>
      </w:r>
    </w:p>
    <w:p w14:paraId="04F9B648" w14:textId="77777777" w:rsidR="000A4784" w:rsidRDefault="000A4784" w:rsidP="000A4784">
      <w:pPr>
        <w:jc w:val="both"/>
        <w:rPr>
          <w:b/>
          <w:bCs/>
          <w:color w:val="000000" w:themeColor="text1"/>
          <w:lang w:val="en-US"/>
        </w:rPr>
      </w:pPr>
      <w:r>
        <w:rPr>
          <w:b/>
          <w:bCs/>
          <w:color w:val="000000" w:themeColor="text1"/>
          <w:lang w:val="en-US"/>
        </w:rPr>
        <w:t>Proposal 1</w:t>
      </w:r>
      <w:r w:rsidRPr="004B12F8">
        <w:rPr>
          <w:b/>
          <w:bCs/>
          <w:color w:val="000000" w:themeColor="text1"/>
          <w:lang w:val="en-US"/>
        </w:rPr>
        <w:t xml:space="preserve">: </w:t>
      </w:r>
      <w:r>
        <w:rPr>
          <w:b/>
          <w:bCs/>
          <w:color w:val="000000" w:themeColor="text1"/>
          <w:lang w:val="en-US"/>
        </w:rPr>
        <w:t>If it is justified to specify any enhancement for multi-modal synchronization in RAN2, only uplink should be considered in Rel-19.</w:t>
      </w:r>
    </w:p>
    <w:p w14:paraId="1D085E93" w14:textId="77777777" w:rsidR="00E24506" w:rsidRDefault="00E24506" w:rsidP="00E24506">
      <w:pPr>
        <w:jc w:val="both"/>
        <w:rPr>
          <w:b/>
          <w:bCs/>
          <w:color w:val="000000" w:themeColor="text1"/>
          <w:lang w:val="en-US"/>
        </w:rPr>
      </w:pPr>
      <w:r>
        <w:rPr>
          <w:b/>
          <w:bCs/>
          <w:color w:val="000000" w:themeColor="text1"/>
          <w:lang w:val="en-US"/>
        </w:rPr>
        <w:t>Proposal 2</w:t>
      </w:r>
      <w:r w:rsidRPr="004B12F8">
        <w:rPr>
          <w:b/>
          <w:bCs/>
          <w:color w:val="000000" w:themeColor="text1"/>
          <w:lang w:val="en-US"/>
        </w:rPr>
        <w:t xml:space="preserve">: </w:t>
      </w:r>
      <w:r>
        <w:rPr>
          <w:b/>
          <w:bCs/>
          <w:color w:val="000000" w:themeColor="text1"/>
          <w:lang w:val="en-US"/>
        </w:rPr>
        <w:t>RAN2 should send a LS to SA2, to confirm the feasibility of transferring the information from CN to RAN about synchronization requirement among multiple data flows.</w:t>
      </w:r>
    </w:p>
    <w:p w14:paraId="09B67AB6" w14:textId="77777777" w:rsidR="00E24506" w:rsidRDefault="00E24506" w:rsidP="00E24506">
      <w:pPr>
        <w:jc w:val="both"/>
        <w:rPr>
          <w:b/>
          <w:bCs/>
          <w:color w:val="000000" w:themeColor="text1"/>
          <w:lang w:val="en-US"/>
        </w:rPr>
      </w:pPr>
      <w:r>
        <w:rPr>
          <w:b/>
          <w:bCs/>
          <w:color w:val="000000" w:themeColor="text1"/>
          <w:lang w:val="en-US"/>
        </w:rPr>
        <w:t>Proposal 3</w:t>
      </w:r>
      <w:r w:rsidRPr="004B12F8">
        <w:rPr>
          <w:b/>
          <w:bCs/>
          <w:color w:val="000000" w:themeColor="text1"/>
          <w:lang w:val="en-US"/>
        </w:rPr>
        <w:t xml:space="preserve">: </w:t>
      </w:r>
      <w:r>
        <w:rPr>
          <w:b/>
          <w:bCs/>
          <w:color w:val="000000" w:themeColor="text1"/>
          <w:lang w:val="en-US"/>
        </w:rPr>
        <w:t>RAN2 can consider extending the UAI, that enables the UE to provide the information of synchronization requirement among multiple uplink QoS flows to RAN.</w:t>
      </w:r>
    </w:p>
    <w:p w14:paraId="05A26B78" w14:textId="77777777" w:rsidR="00E24506" w:rsidRDefault="00E24506" w:rsidP="00E24506">
      <w:pPr>
        <w:jc w:val="both"/>
        <w:rPr>
          <w:b/>
          <w:bCs/>
          <w:color w:val="000000" w:themeColor="text1"/>
          <w:lang w:val="en-US"/>
        </w:rPr>
      </w:pPr>
      <w:r>
        <w:rPr>
          <w:b/>
          <w:bCs/>
          <w:color w:val="000000" w:themeColor="text1"/>
          <w:lang w:val="en-US"/>
        </w:rPr>
        <w:t>Proposal 4</w:t>
      </w:r>
      <w:r w:rsidRPr="004B12F8">
        <w:rPr>
          <w:b/>
          <w:bCs/>
          <w:color w:val="000000" w:themeColor="text1"/>
          <w:lang w:val="en-US"/>
        </w:rPr>
        <w:t xml:space="preserve">: </w:t>
      </w:r>
      <w:r>
        <w:rPr>
          <w:b/>
          <w:bCs/>
          <w:color w:val="000000" w:themeColor="text1"/>
          <w:lang w:val="en-US"/>
        </w:rPr>
        <w:t>RAN2 can decide if any enhancement is to be introduced for multi-modal synchronization after the feasibility of RAN-Awareness of multi-modal synchronization is confirmed.</w:t>
      </w:r>
    </w:p>
    <w:p w14:paraId="6BFFC260" w14:textId="1B9D0111" w:rsidR="00E24506" w:rsidRDefault="00E24506" w:rsidP="00E24506">
      <w:pPr>
        <w:jc w:val="both"/>
        <w:rPr>
          <w:b/>
          <w:bCs/>
          <w:color w:val="000000" w:themeColor="text1"/>
          <w:lang w:val="en-US"/>
        </w:rPr>
      </w:pPr>
      <w:r>
        <w:rPr>
          <w:b/>
          <w:bCs/>
          <w:color w:val="000000" w:themeColor="text1"/>
          <w:lang w:val="en-US"/>
        </w:rPr>
        <w:t>Proposal 5</w:t>
      </w:r>
      <w:r w:rsidRPr="004B12F8">
        <w:rPr>
          <w:b/>
          <w:bCs/>
          <w:color w:val="000000" w:themeColor="text1"/>
          <w:lang w:val="en-US"/>
        </w:rPr>
        <w:t xml:space="preserve">: </w:t>
      </w:r>
      <w:r>
        <w:rPr>
          <w:b/>
          <w:bCs/>
          <w:color w:val="000000" w:themeColor="text1"/>
          <w:lang w:val="en-US"/>
        </w:rPr>
        <w:t>To support multi-modal services involving multiple traffic flows with different packet arrival rates, RAN2 should consider multiple active DRX configurations</w:t>
      </w:r>
      <w:r w:rsidR="000A4784">
        <w:rPr>
          <w:b/>
          <w:bCs/>
          <w:color w:val="000000" w:themeColor="text1"/>
          <w:lang w:val="en-US"/>
        </w:rPr>
        <w:t xml:space="preserve"> in Rel-19</w:t>
      </w:r>
      <w:r>
        <w:rPr>
          <w:b/>
          <w:bCs/>
          <w:color w:val="000000" w:themeColor="text1"/>
          <w:lang w:val="en-US"/>
        </w:rPr>
        <w:t>.</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52EA8D5B" w14:textId="3B5A1C1E" w:rsidR="00E24506" w:rsidRPr="00E24506" w:rsidRDefault="00E24506" w:rsidP="006C176C">
      <w:pPr>
        <w:numPr>
          <w:ilvl w:val="0"/>
          <w:numId w:val="26"/>
        </w:numPr>
        <w:overflowPunct w:val="0"/>
        <w:autoSpaceDE w:val="0"/>
        <w:autoSpaceDN w:val="0"/>
        <w:adjustRightInd w:val="0"/>
        <w:spacing w:before="100" w:beforeAutospacing="1" w:after="100" w:afterAutospacing="1"/>
        <w:ind w:left="562" w:hanging="562"/>
        <w:textAlignment w:val="baseline"/>
      </w:pPr>
      <w:r>
        <w:t>RP-240791, Revised WID on XR (</w:t>
      </w:r>
      <w:proofErr w:type="spellStart"/>
      <w:r>
        <w:t>eXtended</w:t>
      </w:r>
      <w:proofErr w:type="spellEnd"/>
      <w:r>
        <w:t xml:space="preserve"> Reality) for NR Phase 3, </w:t>
      </w:r>
      <w:r w:rsidR="003045FC">
        <w:t>3GPP TSG RAN #103, Maastricht, Netherland, March 2024.</w:t>
      </w:r>
    </w:p>
    <w:p w14:paraId="38105AF9" w14:textId="46F5E392" w:rsidR="006C176C" w:rsidRPr="00E24506" w:rsidRDefault="001B6BBF" w:rsidP="006C176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3GPP TS </w:t>
      </w:r>
      <w:r w:rsidR="00E24506">
        <w:rPr>
          <w:bCs/>
          <w:iCs/>
        </w:rPr>
        <w:t>22.261</w:t>
      </w:r>
      <w:r w:rsidR="003045FC">
        <w:rPr>
          <w:bCs/>
          <w:iCs/>
        </w:rPr>
        <w:t>, V19.5.0, December 2023.</w:t>
      </w:r>
    </w:p>
    <w:p w14:paraId="33FB80B6" w14:textId="79ED8F9A" w:rsidR="00FF4698" w:rsidRPr="003045FC" w:rsidRDefault="00E24506" w:rsidP="00FF4698">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3GPP TS </w:t>
      </w:r>
      <w:r w:rsidR="003045FC">
        <w:rPr>
          <w:bCs/>
          <w:iCs/>
        </w:rPr>
        <w:t>23.501, V18.5.0, March 2024.</w:t>
      </w:r>
    </w:p>
    <w:sectPr w:rsidR="00FF4698" w:rsidRPr="003045FC" w:rsidSect="009A556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D38F9" w14:textId="77777777" w:rsidR="009A556B" w:rsidRDefault="009A556B">
      <w:r>
        <w:separator/>
      </w:r>
    </w:p>
  </w:endnote>
  <w:endnote w:type="continuationSeparator" w:id="0">
    <w:p w14:paraId="40225B8A" w14:textId="77777777" w:rsidR="009A556B" w:rsidRDefault="009A556B">
      <w:r>
        <w:continuationSeparator/>
      </w:r>
    </w:p>
  </w:endnote>
  <w:endnote w:type="continuationNotice" w:id="1">
    <w:p w14:paraId="0D5922B8" w14:textId="77777777" w:rsidR="009A556B" w:rsidRDefault="009A5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BD264" w14:textId="77777777" w:rsidR="009A556B" w:rsidRDefault="009A556B">
      <w:r>
        <w:separator/>
      </w:r>
    </w:p>
  </w:footnote>
  <w:footnote w:type="continuationSeparator" w:id="0">
    <w:p w14:paraId="080D4E16" w14:textId="77777777" w:rsidR="009A556B" w:rsidRDefault="009A556B">
      <w:r>
        <w:continuationSeparator/>
      </w:r>
    </w:p>
  </w:footnote>
  <w:footnote w:type="continuationNotice" w:id="1">
    <w:p w14:paraId="28F2D5B2" w14:textId="77777777" w:rsidR="009A556B" w:rsidRDefault="009A55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6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64"/>
  </w:num>
  <w:num w:numId="2" w16cid:durableId="1464886471">
    <w:abstractNumId w:val="0"/>
  </w:num>
  <w:num w:numId="3" w16cid:durableId="6106756">
    <w:abstractNumId w:val="1"/>
  </w:num>
  <w:num w:numId="4" w16cid:durableId="9181927">
    <w:abstractNumId w:val="2"/>
  </w:num>
  <w:num w:numId="5" w16cid:durableId="189296478">
    <w:abstractNumId w:val="68"/>
  </w:num>
  <w:num w:numId="6" w16cid:durableId="216478951">
    <w:abstractNumId w:val="3"/>
  </w:num>
  <w:num w:numId="7" w16cid:durableId="2145732921">
    <w:abstractNumId w:val="4"/>
  </w:num>
  <w:num w:numId="8" w16cid:durableId="910503920">
    <w:abstractNumId w:val="25"/>
  </w:num>
  <w:num w:numId="9" w16cid:durableId="418721023">
    <w:abstractNumId w:val="57"/>
  </w:num>
  <w:num w:numId="10" w16cid:durableId="701636600">
    <w:abstractNumId w:val="44"/>
  </w:num>
  <w:num w:numId="11" w16cid:durableId="1130325448">
    <w:abstractNumId w:val="18"/>
  </w:num>
  <w:num w:numId="12" w16cid:durableId="1997687803">
    <w:abstractNumId w:val="40"/>
  </w:num>
  <w:num w:numId="13" w16cid:durableId="1749767913">
    <w:abstractNumId w:val="61"/>
  </w:num>
  <w:num w:numId="14" w16cid:durableId="1287271592">
    <w:abstractNumId w:val="7"/>
  </w:num>
  <w:num w:numId="15" w16cid:durableId="1065492308">
    <w:abstractNumId w:val="15"/>
  </w:num>
  <w:num w:numId="16" w16cid:durableId="1691565340">
    <w:abstractNumId w:val="33"/>
  </w:num>
  <w:num w:numId="17" w16cid:durableId="1527668550">
    <w:abstractNumId w:val="20"/>
  </w:num>
  <w:num w:numId="18" w16cid:durableId="113863268">
    <w:abstractNumId w:val="12"/>
  </w:num>
  <w:num w:numId="19" w16cid:durableId="659583198">
    <w:abstractNumId w:val="47"/>
  </w:num>
  <w:num w:numId="20" w16cid:durableId="1308317274">
    <w:abstractNumId w:val="29"/>
  </w:num>
  <w:num w:numId="21" w16cid:durableId="1576550474">
    <w:abstractNumId w:val="22"/>
  </w:num>
  <w:num w:numId="22" w16cid:durableId="235358636">
    <w:abstractNumId w:val="31"/>
  </w:num>
  <w:num w:numId="23" w16cid:durableId="97602813">
    <w:abstractNumId w:val="55"/>
  </w:num>
  <w:num w:numId="24" w16cid:durableId="710617151">
    <w:abstractNumId w:val="56"/>
  </w:num>
  <w:num w:numId="25" w16cid:durableId="1384014814">
    <w:abstractNumId w:val="30"/>
  </w:num>
  <w:num w:numId="26" w16cid:durableId="912855578">
    <w:abstractNumId w:val="6"/>
  </w:num>
  <w:num w:numId="27" w16cid:durableId="1431848407">
    <w:abstractNumId w:val="59"/>
  </w:num>
  <w:num w:numId="28" w16cid:durableId="1499610725">
    <w:abstractNumId w:val="8"/>
  </w:num>
  <w:num w:numId="29" w16cid:durableId="1731878760">
    <w:abstractNumId w:val="53"/>
  </w:num>
  <w:num w:numId="30" w16cid:durableId="1642735486">
    <w:abstractNumId w:val="43"/>
  </w:num>
  <w:num w:numId="31" w16cid:durableId="49812754">
    <w:abstractNumId w:val="19"/>
  </w:num>
  <w:num w:numId="32" w16cid:durableId="1123622218">
    <w:abstractNumId w:val="54"/>
  </w:num>
  <w:num w:numId="33" w16cid:durableId="1913348842">
    <w:abstractNumId w:val="62"/>
  </w:num>
  <w:num w:numId="34" w16cid:durableId="616252452">
    <w:abstractNumId w:val="51"/>
  </w:num>
  <w:num w:numId="35" w16cid:durableId="1878852805">
    <w:abstractNumId w:val="36"/>
  </w:num>
  <w:num w:numId="36" w16cid:durableId="486896589">
    <w:abstractNumId w:val="41"/>
  </w:num>
  <w:num w:numId="37" w16cid:durableId="279000458">
    <w:abstractNumId w:val="34"/>
  </w:num>
  <w:num w:numId="38" w16cid:durableId="2066174909">
    <w:abstractNumId w:val="60"/>
  </w:num>
  <w:num w:numId="39" w16cid:durableId="1625572420">
    <w:abstractNumId w:val="28"/>
  </w:num>
  <w:num w:numId="40" w16cid:durableId="194776442">
    <w:abstractNumId w:val="66"/>
  </w:num>
  <w:num w:numId="41" w16cid:durableId="1049039292">
    <w:abstractNumId w:val="9"/>
  </w:num>
  <w:num w:numId="42" w16cid:durableId="1748335123">
    <w:abstractNumId w:val="69"/>
  </w:num>
  <w:num w:numId="43" w16cid:durableId="324863305">
    <w:abstractNumId w:val="67"/>
  </w:num>
  <w:num w:numId="44" w16cid:durableId="87776830">
    <w:abstractNumId w:val="37"/>
  </w:num>
  <w:num w:numId="45" w16cid:durableId="116878813">
    <w:abstractNumId w:val="5"/>
  </w:num>
  <w:num w:numId="46" w16cid:durableId="1556234868">
    <w:abstractNumId w:val="23"/>
  </w:num>
  <w:num w:numId="47" w16cid:durableId="1344823590">
    <w:abstractNumId w:val="45"/>
  </w:num>
  <w:num w:numId="48" w16cid:durableId="49882736">
    <w:abstractNumId w:val="39"/>
  </w:num>
  <w:num w:numId="49" w16cid:durableId="749424918">
    <w:abstractNumId w:val="70"/>
  </w:num>
  <w:num w:numId="50" w16cid:durableId="351305233">
    <w:abstractNumId w:val="27"/>
  </w:num>
  <w:num w:numId="51" w16cid:durableId="2141918983">
    <w:abstractNumId w:val="21"/>
  </w:num>
  <w:num w:numId="52" w16cid:durableId="2018117002">
    <w:abstractNumId w:val="24"/>
  </w:num>
  <w:num w:numId="53" w16cid:durableId="291324115">
    <w:abstractNumId w:val="49"/>
  </w:num>
  <w:num w:numId="54" w16cid:durableId="1799448085">
    <w:abstractNumId w:val="63"/>
  </w:num>
  <w:num w:numId="55" w16cid:durableId="463668016">
    <w:abstractNumId w:val="58"/>
  </w:num>
  <w:num w:numId="56" w16cid:durableId="1997105538">
    <w:abstractNumId w:val="42"/>
  </w:num>
  <w:num w:numId="57" w16cid:durableId="965549377">
    <w:abstractNumId w:val="65"/>
  </w:num>
  <w:num w:numId="58" w16cid:durableId="38669279">
    <w:abstractNumId w:val="16"/>
  </w:num>
  <w:num w:numId="59" w16cid:durableId="1349714082">
    <w:abstractNumId w:val="52"/>
  </w:num>
  <w:num w:numId="60" w16cid:durableId="735905483">
    <w:abstractNumId w:val="50"/>
  </w:num>
  <w:num w:numId="61" w16cid:durableId="749082821">
    <w:abstractNumId w:val="35"/>
  </w:num>
  <w:num w:numId="62" w16cid:durableId="1025012730">
    <w:abstractNumId w:val="10"/>
  </w:num>
  <w:num w:numId="63" w16cid:durableId="1496607560">
    <w:abstractNumId w:val="38"/>
  </w:num>
  <w:num w:numId="64" w16cid:durableId="1776901223">
    <w:abstractNumId w:val="32"/>
  </w:num>
  <w:num w:numId="65" w16cid:durableId="284581932">
    <w:abstractNumId w:val="48"/>
  </w:num>
  <w:num w:numId="66" w16cid:durableId="367027988">
    <w:abstractNumId w:val="46"/>
  </w:num>
  <w:num w:numId="67" w16cid:durableId="1409307424">
    <w:abstractNumId w:val="17"/>
  </w:num>
  <w:num w:numId="68" w16cid:durableId="1999528796">
    <w:abstractNumId w:val="11"/>
  </w:num>
  <w:num w:numId="69" w16cid:durableId="1645889120">
    <w:abstractNumId w:val="26"/>
  </w:num>
  <w:num w:numId="70" w16cid:durableId="1767649369">
    <w:abstractNumId w:val="14"/>
  </w:num>
  <w:num w:numId="71" w16cid:durableId="8180348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784"/>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4B46"/>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39A"/>
    <w:rsid w:val="009A0AF3"/>
    <w:rsid w:val="009A0EA3"/>
    <w:rsid w:val="009A1C5A"/>
    <w:rsid w:val="009A2466"/>
    <w:rsid w:val="009A25B6"/>
    <w:rsid w:val="009A2BDC"/>
    <w:rsid w:val="009A2F78"/>
    <w:rsid w:val="009A3FFF"/>
    <w:rsid w:val="009A4D6D"/>
    <w:rsid w:val="009A556B"/>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54C"/>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5D31"/>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7D7"/>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227</TotalTime>
  <Pages>3</Pages>
  <Words>1440</Words>
  <Characters>8212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15</cp:revision>
  <dcterms:created xsi:type="dcterms:W3CDTF">2024-03-25T09:33:00Z</dcterms:created>
  <dcterms:modified xsi:type="dcterms:W3CDTF">2024-04-04T13:30:00Z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